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451D0635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4C2BB4">
        <w:rPr>
          <w:rFonts w:ascii="Cambria" w:hAnsi="Cambria"/>
        </w:rPr>
        <w:t>4</w:t>
      </w:r>
      <w:r w:rsidR="00271992">
        <w:rPr>
          <w:rFonts w:ascii="Cambria" w:hAnsi="Cambria"/>
        </w:rPr>
        <w:t>d</w:t>
      </w:r>
      <w:r>
        <w:rPr>
          <w:rFonts w:ascii="Cambria" w:hAnsi="Cambria"/>
        </w:rPr>
        <w:t xml:space="preserve"> do SWZ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13795515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</w:t>
      </w:r>
      <w:r w:rsidR="00685F61">
        <w:rPr>
          <w:rFonts w:ascii="Cambria" w:hAnsi="Cambria"/>
          <w:b/>
        </w:rPr>
        <w:t>.............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542524A7" w:rsidR="00542942" w:rsidRPr="00E70510" w:rsidRDefault="000D6F02" w:rsidP="00E7051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>
        <w:rPr>
          <w:rFonts w:ascii="Cambria" w:hAnsi="Cambria"/>
        </w:rPr>
        <w:t xml:space="preserve">o pn. </w:t>
      </w:r>
      <w:r w:rsidR="00B81823" w:rsidRPr="00E95731">
        <w:rPr>
          <w:rFonts w:ascii="Cambria" w:hAnsi="Cambria" w:cs="Times New Roman"/>
          <w:b/>
        </w:rPr>
        <w:t>„</w:t>
      </w:r>
      <w:r w:rsidR="00F67C33" w:rsidRPr="00F67C33">
        <w:rPr>
          <w:rFonts w:ascii="Cambria" w:hAnsi="Cambria" w:cs="Times New Roman"/>
          <w:b/>
        </w:rPr>
        <w:t>Przebudowa dróg gminnych</w:t>
      </w:r>
      <w:r w:rsidR="004C2BB4">
        <w:rPr>
          <w:rFonts w:ascii="Cambria" w:hAnsi="Cambria" w:cs="Times New Roman"/>
          <w:b/>
        </w:rPr>
        <w:t xml:space="preserve"> i wewnętrznych</w:t>
      </w:r>
      <w:r w:rsidR="00F67C33" w:rsidRPr="00F67C33">
        <w:rPr>
          <w:rFonts w:ascii="Cambria" w:hAnsi="Cambria" w:cs="Times New Roman"/>
          <w:b/>
        </w:rPr>
        <w:t xml:space="preserve"> na terenie gminy Piekoszów</w:t>
      </w:r>
      <w:r w:rsidR="00B81823" w:rsidRPr="00E95731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A2C7D" w:rsidRPr="00CA2C7D">
        <w:rPr>
          <w:rFonts w:ascii="Cambria" w:hAnsi="Cambria"/>
        </w:rPr>
        <w:t xml:space="preserve"> nr ref. </w:t>
      </w:r>
      <w:r w:rsidR="004C2BB4">
        <w:rPr>
          <w:rFonts w:ascii="Cambria" w:hAnsi="Cambria" w:cs="Times New Roman"/>
          <w:b/>
          <w:bCs/>
          <w:color w:val="000000"/>
        </w:rPr>
        <w:t>IRO.271.1.2.4.2021.PK,</w:t>
      </w:r>
      <w:r w:rsidR="00F27730">
        <w:rPr>
          <w:rFonts w:ascii="Cambria" w:hAnsi="Cambria"/>
        </w:rPr>
        <w:t xml:space="preserve">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9983503" w14:textId="428A89E3" w:rsidR="00E70510" w:rsidRPr="00E95731" w:rsidRDefault="00F67C33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>
        <w:rPr>
          <w:rFonts w:ascii="Cambria" w:hAnsi="Cambria"/>
        </w:rPr>
        <w:t>W ramach zamówienia</w:t>
      </w:r>
      <w:r w:rsidR="00E70510">
        <w:rPr>
          <w:rFonts w:ascii="Cambria" w:hAnsi="Cambria"/>
        </w:rPr>
        <w:t xml:space="preserve"> publicznego pn.</w:t>
      </w:r>
      <w:r>
        <w:rPr>
          <w:rFonts w:ascii="Cambria" w:hAnsi="Cambria" w:cs="Times New Roman"/>
          <w:b/>
        </w:rPr>
        <w:t xml:space="preserve"> „</w:t>
      </w:r>
      <w:r w:rsidRPr="00F67C33">
        <w:rPr>
          <w:rFonts w:ascii="Cambria" w:hAnsi="Cambria" w:cs="Times New Roman"/>
          <w:b/>
        </w:rPr>
        <w:t xml:space="preserve">Przebudowa dróg gminnych </w:t>
      </w:r>
      <w:r w:rsidR="004C2BB4">
        <w:rPr>
          <w:rFonts w:ascii="Cambria" w:hAnsi="Cambria" w:cs="Times New Roman"/>
          <w:b/>
        </w:rPr>
        <w:t xml:space="preserve">i wewnętrznych </w:t>
      </w:r>
      <w:r w:rsidRPr="00F67C33">
        <w:rPr>
          <w:rFonts w:ascii="Cambria" w:hAnsi="Cambria" w:cs="Times New Roman"/>
          <w:b/>
        </w:rPr>
        <w:t>na terenie gminy Piekoszów</w:t>
      </w:r>
      <w:r>
        <w:rPr>
          <w:rFonts w:ascii="Cambria" w:hAnsi="Cambria" w:cs="Times New Roman"/>
          <w:b/>
        </w:rPr>
        <w:t>”</w:t>
      </w:r>
      <w:r w:rsidR="00E70510" w:rsidRPr="00E95731">
        <w:rPr>
          <w:rFonts w:ascii="Cambria" w:hAnsi="Cambria"/>
          <w:b/>
          <w:bCs/>
        </w:rPr>
        <w:t>,</w:t>
      </w:r>
      <w:r w:rsidR="00E70510" w:rsidRPr="00E95731">
        <w:rPr>
          <w:rFonts w:ascii="Cambria" w:hAnsi="Cambria"/>
        </w:rPr>
        <w:t xml:space="preserve"> nr ref. </w:t>
      </w:r>
      <w:r w:rsidR="004C2BB4">
        <w:rPr>
          <w:rFonts w:ascii="Cambria" w:hAnsi="Cambria" w:cs="Times New Roman"/>
          <w:b/>
          <w:bCs/>
          <w:color w:val="000000"/>
        </w:rPr>
        <w:t>IRO.271.2.4.2021.PR,</w:t>
      </w:r>
      <w:r w:rsidR="00E70510" w:rsidRPr="00E95731">
        <w:rPr>
          <w:rFonts w:ascii="Cambria" w:hAnsi="Cambria"/>
        </w:rPr>
        <w:t xml:space="preserve"> </w:t>
      </w:r>
      <w:r w:rsidRPr="004B3C44">
        <w:rPr>
          <w:rFonts w:ascii="Cambria" w:hAnsi="Cambria"/>
        </w:rPr>
        <w:t xml:space="preserve">Zamawiający zleca a Wykonawca przyjmuje do wykonania </w:t>
      </w:r>
      <w:r w:rsidRPr="00A97276">
        <w:rPr>
          <w:rFonts w:ascii="Cambria" w:hAnsi="Cambria"/>
          <w:b/>
          <w:bCs/>
        </w:rPr>
        <w:t xml:space="preserve">Część nr </w:t>
      </w:r>
      <w:r w:rsidR="001739CB">
        <w:rPr>
          <w:rFonts w:ascii="Cambria" w:hAnsi="Cambria"/>
          <w:b/>
          <w:bCs/>
        </w:rPr>
        <w:t>4</w:t>
      </w:r>
      <w:r w:rsidRPr="00A97276">
        <w:rPr>
          <w:rFonts w:ascii="Cambria" w:hAnsi="Cambria"/>
          <w:b/>
          <w:bCs/>
        </w:rPr>
        <w:t xml:space="preserve"> - </w:t>
      </w:r>
      <w:r w:rsidR="001739CB" w:rsidRPr="001739CB">
        <w:rPr>
          <w:rFonts w:ascii="Cambria" w:hAnsi="Cambria" w:cs="Times New Roman"/>
          <w:b/>
          <w:bCs/>
        </w:rPr>
        <w:t>Przebudowa ulic Południowa i Leśna w miejscowości Micigózd (Przebudowa drogi gminnej Micigózd, Kamionki o długości 820 m na dz. nr ewid. 253/2, 191 obr. 0011 Micigózd)</w:t>
      </w:r>
      <w:r w:rsidR="001D7527" w:rsidRPr="001739CB">
        <w:rPr>
          <w:rFonts w:ascii="Cambria" w:hAnsi="Cambria"/>
          <w:b/>
          <w:bCs/>
        </w:rPr>
        <w:t>,</w:t>
      </w:r>
      <w:r w:rsidR="001D7527">
        <w:rPr>
          <w:rFonts w:ascii="Cambria" w:hAnsi="Cambria"/>
          <w:b/>
          <w:bCs/>
        </w:rPr>
        <w:t xml:space="preserve"> </w:t>
      </w:r>
      <w:r w:rsidR="00E70510" w:rsidRPr="00E95731">
        <w:rPr>
          <w:rFonts w:ascii="Cambria" w:hAnsi="Cambria"/>
        </w:rPr>
        <w:t xml:space="preserve">w ramach którego m. in. Wykonawca zobowiązuje się do oddania, przewidzianego w niniejszej umowie obiektu, wykonanego zgodnie z dokumentacją, o której mowa w ust. </w:t>
      </w:r>
      <w:r w:rsidR="00AC48C8">
        <w:rPr>
          <w:rFonts w:ascii="Cambria" w:hAnsi="Cambria"/>
        </w:rPr>
        <w:t>3</w:t>
      </w:r>
      <w:r w:rsidR="00E70510" w:rsidRPr="00E95731">
        <w:rPr>
          <w:rFonts w:ascii="Cambria" w:hAnsi="Cambria"/>
        </w:rPr>
        <w:t xml:space="preserve">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Default="00E95731" w:rsidP="00E9573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17D00197" w14:textId="3D96DE1E" w:rsidR="0031000E" w:rsidRPr="0031000E" w:rsidRDefault="00E95731" w:rsidP="0031000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Dokumentacji technicznej, stanowiącej załącznik nr </w:t>
      </w:r>
      <w:r w:rsidR="006805EF">
        <w:rPr>
          <w:rFonts w:ascii="Cambria" w:hAnsi="Cambria"/>
        </w:rPr>
        <w:t xml:space="preserve">1 </w:t>
      </w:r>
      <w:r>
        <w:rPr>
          <w:rFonts w:ascii="Cambria" w:hAnsi="Cambria"/>
        </w:rPr>
        <w:t>do niniejszej umowy (dalej odpowiednio jako: „Dokumentacja techniczna”)</w:t>
      </w:r>
      <w:r w:rsidR="0031000E" w:rsidRPr="0031000E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E95731" w:rsidRDefault="00E95731" w:rsidP="00BF311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</w:t>
      </w:r>
      <w:r>
        <w:rPr>
          <w:rFonts w:ascii="Cambria" w:hAnsi="Cambria"/>
        </w:rPr>
        <w:t>2</w:t>
      </w:r>
      <w:r w:rsidRPr="00542942">
        <w:rPr>
          <w:rFonts w:ascii="Cambria" w:hAnsi="Cambria"/>
        </w:rPr>
        <w:t xml:space="preserve">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„SWZ”);</w:t>
      </w:r>
    </w:p>
    <w:p w14:paraId="1D10DE1A" w14:textId="77777777" w:rsidR="00542942" w:rsidRPr="00542942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0A294DED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529A8AFD" w14:textId="747906A2" w:rsidR="00542942" w:rsidRDefault="00E70510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</w:t>
      </w:r>
      <w:r w:rsidR="00E95731">
        <w:rPr>
          <w:rFonts w:ascii="Cambria" w:hAnsi="Cambria"/>
        </w:rPr>
        <w:t>techniczną</w:t>
      </w:r>
      <w:r w:rsidR="006805EF">
        <w:rPr>
          <w:rFonts w:ascii="Cambria" w:hAnsi="Cambria"/>
        </w:rPr>
        <w:t>;</w:t>
      </w:r>
    </w:p>
    <w:p w14:paraId="0DD2DC50" w14:textId="23EB1F32" w:rsidR="00542942" w:rsidRDefault="00542942" w:rsidP="00BF31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ofertą Wykonawcy</w:t>
      </w:r>
      <w:r w:rsidR="00C6690B">
        <w:rPr>
          <w:rFonts w:ascii="Cambria" w:hAnsi="Cambria"/>
        </w:rPr>
        <w:t>.</w:t>
      </w:r>
    </w:p>
    <w:p w14:paraId="6D5A98B7" w14:textId="2D1ED530" w:rsidR="00542942" w:rsidRPr="00AA3918" w:rsidRDefault="00542942" w:rsidP="00BF31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5427C931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</w:t>
      </w:r>
      <w:r w:rsidR="00685F61">
        <w:rPr>
          <w:rFonts w:ascii="Cambria" w:hAnsi="Cambria"/>
        </w:rPr>
        <w:t xml:space="preserve">w </w:t>
      </w:r>
      <w:r w:rsidR="001E277D">
        <w:rPr>
          <w:rFonts w:ascii="Cambria" w:hAnsi="Cambria"/>
        </w:rPr>
        <w:t>terminie 3 dni od dnia podpisania niniejszej umowy.</w:t>
      </w:r>
      <w:r w:rsidR="00816D41">
        <w:rPr>
          <w:rFonts w:ascii="Cambria" w:hAnsi="Cambria"/>
        </w:rPr>
        <w:t xml:space="preserve"> </w:t>
      </w:r>
    </w:p>
    <w:p w14:paraId="460D0137" w14:textId="039B1D65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>: od dnia podpisania niniejszej umowy do dnia 3</w:t>
      </w:r>
      <w:r w:rsidR="004C2BB4">
        <w:rPr>
          <w:rFonts w:ascii="Cambria" w:hAnsi="Cambria"/>
        </w:rPr>
        <w:t xml:space="preserve">0 </w:t>
      </w:r>
      <w:r w:rsidR="001739CB">
        <w:rPr>
          <w:rFonts w:ascii="Cambria" w:hAnsi="Cambria"/>
        </w:rPr>
        <w:t xml:space="preserve">sierpnia </w:t>
      </w:r>
      <w:r w:rsidR="001E277D">
        <w:rPr>
          <w:rFonts w:ascii="Cambria" w:hAnsi="Cambria"/>
        </w:rPr>
        <w:t>2021 r.</w:t>
      </w:r>
    </w:p>
    <w:p w14:paraId="7BF46A8D" w14:textId="3A06CD49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6805EF" w:rsidRDefault="008A4526" w:rsidP="006805EF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 SWZ i</w:t>
      </w:r>
      <w:r>
        <w:rPr>
          <w:rFonts w:ascii="Cambria" w:hAnsi="Cambria"/>
        </w:rPr>
        <w:t xml:space="preserve"> </w:t>
      </w:r>
      <w:r w:rsidR="006805EF">
        <w:rPr>
          <w:rFonts w:ascii="Cambria" w:hAnsi="Cambria"/>
        </w:rPr>
        <w:t>D</w:t>
      </w:r>
      <w:r>
        <w:rPr>
          <w:rFonts w:ascii="Cambria" w:hAnsi="Cambria"/>
        </w:rPr>
        <w:t>okumenta</w:t>
      </w:r>
      <w:r w:rsidR="00BF311E">
        <w:rPr>
          <w:rFonts w:ascii="Cambria" w:hAnsi="Cambria"/>
        </w:rPr>
        <w:t>cją</w:t>
      </w:r>
      <w:r w:rsidR="006805EF">
        <w:rPr>
          <w:rFonts w:ascii="Cambria" w:hAnsi="Cambria"/>
        </w:rPr>
        <w:t xml:space="preserve"> techniczną;</w:t>
      </w:r>
    </w:p>
    <w:p w14:paraId="5F2546A3" w14:textId="132AF788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 xml:space="preserve">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</w:t>
      </w:r>
      <w:r w:rsidR="00FD5C85">
        <w:rPr>
          <w:rFonts w:ascii="Cambria" w:hAnsi="Cambria"/>
          <w:color w:val="000000"/>
        </w:rPr>
        <w:t> </w:t>
      </w:r>
      <w:r w:rsidRPr="008A4526">
        <w:rPr>
          <w:rFonts w:ascii="Cambria" w:hAnsi="Cambria"/>
          <w:color w:val="000000"/>
        </w:rPr>
        <w:t>branży drogowej</w:t>
      </w:r>
      <w:r w:rsidR="006805EF">
        <w:rPr>
          <w:rFonts w:ascii="Cambria" w:hAnsi="Cambria"/>
          <w:color w:val="000000"/>
        </w:rPr>
        <w:t>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Default="008A4526" w:rsidP="001E277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poprzez</w:t>
      </w:r>
      <w:r w:rsidR="006805EF">
        <w:rPr>
          <w:rFonts w:ascii="Cambria" w:hAnsi="Cambria"/>
        </w:rPr>
        <w:t>:</w:t>
      </w:r>
    </w:p>
    <w:p w14:paraId="1C5AAA7A" w14:textId="00EF8FD4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oświadczeń i dokumentów w zakresie potwierdzenia spełniania ww. wymogów i dokonywania ich oceny,</w:t>
      </w:r>
    </w:p>
    <w:p w14:paraId="70860C96" w14:textId="77777777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>żądani</w:t>
      </w:r>
      <w:r>
        <w:rPr>
          <w:rFonts w:ascii="Cambria" w:hAnsi="Cambria"/>
          <w:sz w:val="22"/>
          <w:szCs w:val="22"/>
        </w:rPr>
        <w:t>e</w:t>
      </w:r>
      <w:r w:rsidRPr="006805E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od Wykonawcy </w:t>
      </w:r>
      <w:r w:rsidRPr="006805EF">
        <w:rPr>
          <w:rFonts w:ascii="Cambria" w:hAnsi="Cambria"/>
          <w:sz w:val="22"/>
          <w:szCs w:val="22"/>
        </w:rPr>
        <w:t>wyjaśnień w przypadku wątpliwości w zakresie potwierdzenia spełniania ww. wymogów,</w:t>
      </w:r>
    </w:p>
    <w:p w14:paraId="25121B91" w14:textId="47474A1A" w:rsidR="006805EF" w:rsidRPr="006805EF" w:rsidRDefault="006805EF" w:rsidP="001E277D">
      <w:pPr>
        <w:pStyle w:val="Standard"/>
        <w:numPr>
          <w:ilvl w:val="0"/>
          <w:numId w:val="52"/>
        </w:numPr>
        <w:suppressLineNumbers/>
        <w:spacing w:line="360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6805EF">
        <w:rPr>
          <w:rFonts w:ascii="Cambria" w:hAnsi="Cambria"/>
          <w:sz w:val="22"/>
          <w:szCs w:val="22"/>
        </w:rPr>
        <w:t xml:space="preserve">przeprowadzania kontroli na miejscu wykonywania </w:t>
      </w:r>
      <w:r>
        <w:rPr>
          <w:rFonts w:ascii="Cambria" w:hAnsi="Cambria"/>
          <w:sz w:val="22"/>
          <w:szCs w:val="22"/>
        </w:rPr>
        <w:t>przedmiotu umowy</w:t>
      </w:r>
      <w:r w:rsidRPr="006805EF">
        <w:rPr>
          <w:rFonts w:ascii="Cambria" w:hAnsi="Cambria"/>
          <w:sz w:val="22"/>
          <w:szCs w:val="22"/>
        </w:rPr>
        <w:t>.</w:t>
      </w:r>
    </w:p>
    <w:p w14:paraId="732807EE" w14:textId="77777777" w:rsidR="008A4526" w:rsidRDefault="008A4526" w:rsidP="001E277D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1E277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1E277D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1E277D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5A4ACB86" w14:textId="026EB863" w:rsidR="001739CB" w:rsidRPr="001739CB" w:rsidRDefault="001739CB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4D48A5">
        <w:rPr>
          <w:rFonts w:ascii="Cambria" w:hAnsi="Cambria"/>
        </w:rPr>
        <w:t>opracowania projektu stałej organizacji ruchu na odcinkach dróg oraz dokonania właściwych uzgodnień i uzyskania akceptacji tego projektu w organie nadzorującym i wykonania odpowiedniego oznakowania pasa drogowego - na czas wykonywania robót budowlanych</w:t>
      </w:r>
      <w:r>
        <w:rPr>
          <w:rFonts w:ascii="Cambria" w:hAnsi="Cambria"/>
        </w:rPr>
        <w:t>;</w:t>
      </w:r>
    </w:p>
    <w:p w14:paraId="6E94F5FB" w14:textId="0B586C9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63AD9638" w14:textId="6F4857D8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lastRenderedPageBreak/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43E78303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bookmarkStart w:id="1" w:name="_Hlk56720266"/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bookmarkEnd w:id="1"/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0BD77E37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</w:t>
      </w:r>
      <w:r w:rsidR="000E6026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 xml:space="preserve">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</w:t>
      </w:r>
      <w:r w:rsidR="000E6026">
        <w:rPr>
          <w:rFonts w:ascii="Cambria" w:hAnsi="Cambria" w:cs="Times New Roman"/>
        </w:rPr>
        <w:t>r</w:t>
      </w:r>
      <w:r w:rsidRPr="00841CB3">
        <w:rPr>
          <w:rFonts w:ascii="Cambria" w:hAnsi="Cambria" w:cs="Times New Roman"/>
        </w:rPr>
        <w:t>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6A58033D" w14:textId="56BEB5C7" w:rsidR="00BF311E" w:rsidRPr="00BF311E" w:rsidRDefault="00BF311E" w:rsidP="00BF311E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096733D3" w14:textId="1A6D4803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>Wykonawca jest zobowiązany do posługiwania się właściwym personelem przy wykonywaniu przedmiotu umowy, w tym:</w:t>
      </w:r>
    </w:p>
    <w:p w14:paraId="573BEC3C" w14:textId="0A8A554D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6805EF">
        <w:rPr>
          <w:rFonts w:ascii="Cambria" w:hAnsi="Cambria"/>
          <w:color w:val="000000"/>
        </w:rPr>
        <w:t>;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6805EF" w:rsidRDefault="008A4526" w:rsidP="00BF311E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BF311E" w:rsidRDefault="006805EF" w:rsidP="006805EF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Przedmiotem umowy należy wykonywać przy użyciu materiałów, dla których standardy określono w </w:t>
      </w:r>
      <w:r w:rsidR="006805EF">
        <w:rPr>
          <w:rFonts w:ascii="Cambria" w:hAnsi="Cambria"/>
        </w:rPr>
        <w:t>Dokumentacji technicznej.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dopuszczenia do stosowania. Ciężar wykazania tej zgodności spoczywa na Wykonawcy. </w:t>
      </w:r>
      <w:r w:rsidRPr="00795327">
        <w:rPr>
          <w:rFonts w:ascii="Cambria" w:hAnsi="Cambria"/>
        </w:rPr>
        <w:lastRenderedPageBreak/>
        <w:t>Dokumenty potwierdzające spełnienie wymogów jakościowych Wykonawca okaże i przekaże Zamawiającemu na każde jego żądanie.</w:t>
      </w:r>
    </w:p>
    <w:p w14:paraId="79FA04CD" w14:textId="66ED579B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>
        <w:rPr>
          <w:rFonts w:ascii="Cambria" w:hAnsi="Cambria"/>
        </w:rPr>
        <w:t> </w:t>
      </w:r>
      <w:r w:rsidR="0019353A">
        <w:rPr>
          <w:rFonts w:ascii="Cambria" w:hAnsi="Cambria"/>
        </w:rPr>
        <w:t>Dokumentacji technicznej</w:t>
      </w:r>
      <w:r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>
        <w:rPr>
          <w:rFonts w:ascii="Cambria" w:hAnsi="Cambria"/>
        </w:rPr>
        <w:t> </w:t>
      </w:r>
      <w:r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19353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208E0321" w14:textId="7A59F8FD" w:rsidR="00CB08ED" w:rsidRDefault="00CB08ED" w:rsidP="00390C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390CFD">
        <w:rPr>
          <w:rFonts w:ascii="Cambria" w:hAnsi="Cambria"/>
        </w:rPr>
        <w:t>,</w:t>
      </w:r>
      <w:r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E9AADB0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19353A">
        <w:rPr>
          <w:rFonts w:ascii="Cambria" w:hAnsi="Cambria" w:cs="Times New Roman"/>
          <w:color w:val="000000"/>
        </w:rPr>
        <w:t xml:space="preserve">SWZ i Dokumentacji technicznej </w:t>
      </w:r>
      <w:r w:rsidRPr="00A5302C">
        <w:rPr>
          <w:rFonts w:ascii="Cambria" w:hAnsi="Cambria" w:cs="Times New Roman"/>
          <w:color w:val="000000"/>
        </w:rPr>
        <w:t xml:space="preserve">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lastRenderedPageBreak/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7451545" w14:textId="77777777" w:rsidR="00743BFA" w:rsidRPr="00305F30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04DF26D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743BFA">
      <w:pPr>
        <w:pStyle w:val="Akapitzlist"/>
        <w:numPr>
          <w:ilvl w:val="3"/>
          <w:numId w:val="5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04A7374" w14:textId="77777777" w:rsidR="00743BFA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133BEDB4" w14:textId="77777777" w:rsidR="00743BFA" w:rsidRPr="008E2F8C" w:rsidRDefault="00743BFA" w:rsidP="00743BF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7D1ACD95" w14:textId="77777777" w:rsidR="00743BFA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084DBA01" w14:textId="77777777" w:rsidR="00743BFA" w:rsidRPr="00795327" w:rsidRDefault="00743BFA" w:rsidP="00743BFA">
      <w:pPr>
        <w:pStyle w:val="Akapitzlist"/>
        <w:numPr>
          <w:ilvl w:val="3"/>
          <w:numId w:val="5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 jest uprawniony do powierzenia podwykonawcom wykonania części robót</w:t>
      </w:r>
      <w:r w:rsidR="00743BFA">
        <w:rPr>
          <w:rFonts w:ascii="Cambria" w:hAnsi="Cambria"/>
        </w:rPr>
        <w:t xml:space="preserve"> budowlanych</w:t>
      </w:r>
      <w:r w:rsidRPr="00B65B64">
        <w:rPr>
          <w:rFonts w:ascii="Cambria" w:hAnsi="Cambria"/>
        </w:rPr>
        <w:t>.</w:t>
      </w:r>
    </w:p>
    <w:p w14:paraId="11E59AF8" w14:textId="0F063C3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SWZ</w:t>
      </w:r>
      <w:r w:rsidR="00743BFA">
        <w:rPr>
          <w:rFonts w:ascii="Cambria" w:hAnsi="Cambria"/>
        </w:rPr>
        <w:t xml:space="preserve"> i niniejszej umowie</w:t>
      </w:r>
      <w:r w:rsidRPr="00B65B64">
        <w:rPr>
          <w:rFonts w:ascii="Cambria" w:hAnsi="Cambria"/>
        </w:rPr>
        <w:t>;</w:t>
      </w:r>
    </w:p>
    <w:p w14:paraId="38AC9BEC" w14:textId="58268EC3" w:rsidR="00795327" w:rsidRPr="00743BFA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 xml:space="preserve">termin zapłaty wynagrodzenia przewidziany w umowie o podwykonawstwo, której przedmiotem są roboty budowlane, jest dłuższy niż 30 dni od dnia doręczenia </w:t>
      </w:r>
      <w:r w:rsidR="00743BFA">
        <w:rPr>
          <w:rFonts w:ascii="Cambria" w:hAnsi="Cambria"/>
        </w:rPr>
        <w:t>W</w:t>
      </w:r>
      <w:r w:rsidRPr="00B65B64">
        <w:rPr>
          <w:rFonts w:ascii="Cambria" w:hAnsi="Cambria"/>
        </w:rPr>
        <w:t xml:space="preserve">ykonawcy, podwykonawcy lub dalszemu podwykonawcy faktury </w:t>
      </w:r>
      <w:r w:rsidR="00743BFA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lub rachunku potwierdzającej wykonanie powierzonej roboty budowlanej</w:t>
      </w:r>
      <w:r w:rsidR="00743BFA">
        <w:rPr>
          <w:rFonts w:ascii="Cambria" w:hAnsi="Cambria"/>
        </w:rPr>
        <w:t>;</w:t>
      </w:r>
    </w:p>
    <w:p w14:paraId="5A3FAA2D" w14:textId="31D4E773" w:rsidR="00743BFA" w:rsidRPr="00B65B64" w:rsidRDefault="00743BFA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>
        <w:rPr>
          <w:rFonts w:ascii="Cambria" w:hAnsi="Cambria"/>
        </w:rPr>
        <w:t> </w:t>
      </w:r>
      <w:r w:rsidRPr="00B65B64">
        <w:rPr>
          <w:rFonts w:ascii="Cambria" w:hAnsi="Cambria"/>
        </w:rPr>
        <w:t>przypadku gdy:</w:t>
      </w:r>
    </w:p>
    <w:p w14:paraId="01261750" w14:textId="3909F3A8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SWZ</w:t>
      </w:r>
      <w:r w:rsidR="00743BFA">
        <w:rPr>
          <w:rFonts w:ascii="Cambria" w:hAnsi="Cambria"/>
        </w:rPr>
        <w:t xml:space="preserve"> i niniejszej umowy</w:t>
      </w:r>
      <w:r w:rsidRPr="00B65B64">
        <w:rPr>
          <w:rFonts w:ascii="Cambria" w:hAnsi="Cambria"/>
        </w:rPr>
        <w:t>;</w:t>
      </w:r>
    </w:p>
    <w:p w14:paraId="24BC7343" w14:textId="77777777" w:rsidR="00743BFA" w:rsidRPr="00743BFA" w:rsidRDefault="00795327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>
        <w:rPr>
          <w:rFonts w:ascii="Cambria" w:hAnsi="Cambria"/>
        </w:rPr>
        <w:t>;</w:t>
      </w:r>
    </w:p>
    <w:p w14:paraId="12C01616" w14:textId="279BF2C0" w:rsidR="00743BFA" w:rsidRPr="00743BFA" w:rsidRDefault="00743BFA" w:rsidP="00743BF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43BFA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432DEE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</w:t>
      </w:r>
      <w:r w:rsidRPr="00432DEE">
        <w:rPr>
          <w:rFonts w:ascii="Cambria" w:hAnsi="Cambria"/>
        </w:rPr>
        <w:t xml:space="preserve">przedmiotem są roboty budowlane. </w:t>
      </w:r>
    </w:p>
    <w:p w14:paraId="3B3E649C" w14:textId="2567BBA3" w:rsidR="00432DEE" w:rsidRPr="00432DEE" w:rsidRDefault="00432DEE" w:rsidP="00432DEE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432DEE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B65B64" w:rsidRDefault="00743BFA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432DEE">
        <w:rPr>
          <w:rFonts w:ascii="Cambria" w:hAnsi="Cambria"/>
        </w:rPr>
        <w:t>W</w:t>
      </w:r>
      <w:r w:rsidR="00795327" w:rsidRPr="00432DEE">
        <w:rPr>
          <w:rFonts w:ascii="Cambria" w:hAnsi="Cambria"/>
        </w:rPr>
        <w:t>arunkiem zapłaty przez Zamawiającego na rzecz Wykonawcy należnego Wykonawcy</w:t>
      </w:r>
      <w:r w:rsidR="00795327" w:rsidRPr="00B65B64">
        <w:rPr>
          <w:rFonts w:ascii="Cambria" w:hAnsi="Cambria"/>
        </w:rPr>
        <w:t xml:space="preserve"> wynagrodzenia za odebrane roboty budowlane jest przedstawienie dowodów zapłaty </w:t>
      </w:r>
      <w:r w:rsidR="00795327" w:rsidRPr="00B65B64">
        <w:rPr>
          <w:rFonts w:ascii="Cambria" w:hAnsi="Cambria"/>
        </w:rPr>
        <w:lastRenderedPageBreak/>
        <w:t>wymagalnego wynagrodzenia podwykonawcom i dalszym podwykonawcom biorącym udział w realizacji odebranych robót budowlanych.</w:t>
      </w:r>
    </w:p>
    <w:p w14:paraId="6790CD2D" w14:textId="094B6FDD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>
        <w:rPr>
          <w:rFonts w:ascii="Cambria" w:hAnsi="Cambria"/>
        </w:rPr>
        <w:t>465</w:t>
      </w:r>
      <w:r w:rsidRPr="00B65B64">
        <w:rPr>
          <w:rFonts w:ascii="Cambria" w:hAnsi="Cambria"/>
        </w:rPr>
        <w:t xml:space="preserve">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03A692C8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>
        <w:rPr>
          <w:rFonts w:ascii="Cambria" w:hAnsi="Cambria"/>
        </w:rPr>
        <w:t xml:space="preserve">- </w:t>
      </w:r>
      <w:r>
        <w:rPr>
          <w:rFonts w:ascii="Cambria" w:hAnsi="Cambria"/>
        </w:rPr>
        <w:t>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4C2BB4">
        <w:rPr>
          <w:rFonts w:ascii="Cambria" w:hAnsi="Cambria"/>
        </w:rPr>
        <w:t>1</w:t>
      </w:r>
      <w:r w:rsidR="001D7527">
        <w:rPr>
          <w:rFonts w:ascii="Cambria" w:hAnsi="Cambria"/>
        </w:rPr>
        <w:t xml:space="preserve">00 </w:t>
      </w:r>
      <w:r w:rsidR="00432DEE">
        <w:rPr>
          <w:rFonts w:ascii="Cambria" w:hAnsi="Cambria"/>
        </w:rPr>
        <w:t>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C63E6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Default="00795327" w:rsidP="00C63E6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390CFD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3A16148E" w14:textId="566113A6" w:rsidR="00390CFD" w:rsidRPr="00795327" w:rsidRDefault="00390CFD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14:paraId="5800B70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C63E6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oparciu o przeprowadzone pomiary, w konfrontacji z </w:t>
      </w:r>
      <w:r w:rsidR="00432DEE">
        <w:rPr>
          <w:rFonts w:ascii="Cambria" w:hAnsi="Cambria"/>
        </w:rPr>
        <w:t>SWZ, Dokumentacją techniczną i</w:t>
      </w:r>
      <w:r>
        <w:rPr>
          <w:rFonts w:ascii="Cambria" w:hAnsi="Cambria"/>
        </w:rPr>
        <w:t xml:space="preserve"> uprzednimi ustaleniami.</w:t>
      </w:r>
    </w:p>
    <w:p w14:paraId="25FE70C0" w14:textId="77777777" w:rsidR="00390CFD" w:rsidRDefault="00390CFD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14:paraId="2D384540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 xml:space="preserve">odbioru częściowego robót dokonuje się według zasad jak przy odbiorze </w:t>
      </w:r>
      <w:r>
        <w:rPr>
          <w:rFonts w:ascii="Cambria" w:hAnsi="Cambria"/>
        </w:rPr>
        <w:t>końcowym</w:t>
      </w:r>
      <w:r w:rsidRPr="0086770B">
        <w:rPr>
          <w:rFonts w:ascii="Cambria" w:hAnsi="Cambria"/>
        </w:rPr>
        <w:t>;</w:t>
      </w:r>
    </w:p>
    <w:p w14:paraId="62C5775F" w14:textId="77777777" w:rsid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odbioru robót dokonuje komisja w obecności Inspektora Nadzoru Inwestorskiego, Wykonawcy i Zamawiającego. Komisja jest powoływana przez Zamawiającego;</w:t>
      </w:r>
    </w:p>
    <w:p w14:paraId="3A8546EB" w14:textId="798FC27A" w:rsidR="00390CFD" w:rsidRPr="00390CFD" w:rsidRDefault="00390CFD" w:rsidP="00390CFD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lastRenderedPageBreak/>
        <w:t xml:space="preserve">warunkiem dokonania odbioru częściowego jest uprzednie wystawienie przez Inspektora Nadzoru Inwestorskiego </w:t>
      </w:r>
      <w:r w:rsidR="00C6690B">
        <w:rPr>
          <w:rFonts w:ascii="Cambria" w:hAnsi="Cambria"/>
        </w:rPr>
        <w:t>ś</w:t>
      </w:r>
      <w:r w:rsidRPr="0086770B">
        <w:rPr>
          <w:rFonts w:ascii="Cambria" w:hAnsi="Cambria"/>
        </w:rPr>
        <w:t xml:space="preserve">wiadectwa </w:t>
      </w:r>
      <w:r w:rsidR="00C6690B">
        <w:rPr>
          <w:rFonts w:ascii="Cambria" w:hAnsi="Cambria"/>
        </w:rPr>
        <w:t>p</w:t>
      </w:r>
      <w:r w:rsidRPr="0086770B">
        <w:rPr>
          <w:rFonts w:ascii="Cambria" w:hAnsi="Cambria"/>
        </w:rPr>
        <w:t>rzejęcia w zakresie części robót.</w:t>
      </w:r>
    </w:p>
    <w:p w14:paraId="7F3EC674" w14:textId="653B99B9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</w:t>
      </w:r>
      <w:r w:rsidR="00432DEE">
        <w:rPr>
          <w:rFonts w:ascii="Cambria" w:hAnsi="Cambria"/>
        </w:rPr>
        <w:t>SWZ i Dokumentacją techniczną;</w:t>
      </w:r>
    </w:p>
    <w:p w14:paraId="5CC5A154" w14:textId="477AD647" w:rsidR="00CA2C7D" w:rsidRPr="00390CF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>
        <w:rPr>
          <w:rFonts w:ascii="Cambria" w:hAnsi="Cambria"/>
        </w:rPr>
        <w:t xml:space="preserve">, SWZ i Dokumentacją techniczną </w:t>
      </w:r>
      <w:r w:rsidRPr="00390CFD">
        <w:rPr>
          <w:rFonts w:ascii="Cambria" w:hAnsi="Cambria"/>
        </w:rPr>
        <w:t>oraz ustaleniami i poleceniami Inspektora Nadzoru Inwestorskiego. Roboty z</w:t>
      </w:r>
      <w:r w:rsidR="00E70510" w:rsidRPr="00390CFD">
        <w:rPr>
          <w:rFonts w:ascii="Cambria" w:hAnsi="Cambria"/>
        </w:rPr>
        <w:t> </w:t>
      </w:r>
      <w:r w:rsidRPr="00390CFD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 xml:space="preserve">poszczególnych asortymentach odbiega od wymaganej, Komisja powinna nakazać </w:t>
      </w:r>
      <w:r>
        <w:rPr>
          <w:rFonts w:ascii="Cambria" w:hAnsi="Cambria"/>
        </w:rPr>
        <w:lastRenderedPageBreak/>
        <w:t>Wykonawcy wykonanie robót poprawkowych, wyznaczając jednocześnie nowy termin odbioru końcowego;</w:t>
      </w:r>
    </w:p>
    <w:p w14:paraId="333C731A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3970B9DB" w:rsidR="00795327" w:rsidRDefault="00795327" w:rsidP="00C63E66">
      <w:pPr>
        <w:pStyle w:val="Akapitzlist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C63E6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>
        <w:rPr>
          <w:rFonts w:ascii="Cambria" w:hAnsi="Cambria"/>
        </w:rPr>
        <w:t> </w:t>
      </w:r>
      <w:r>
        <w:rPr>
          <w:rFonts w:ascii="Cambria" w:hAnsi="Cambria"/>
        </w:rPr>
        <w:t xml:space="preserve">uwzględnieniem zasad opisanych w ust. </w:t>
      </w:r>
      <w:r w:rsidR="00390CFD">
        <w:rPr>
          <w:rFonts w:ascii="Cambria" w:hAnsi="Cambria"/>
        </w:rPr>
        <w:t>4</w:t>
      </w:r>
      <w:r>
        <w:rPr>
          <w:rFonts w:ascii="Cambria" w:hAnsi="Cambria"/>
        </w:rPr>
        <w:t>.</w:t>
      </w:r>
    </w:p>
    <w:p w14:paraId="1088D9A4" w14:textId="532FC5DF" w:rsidR="00795327" w:rsidRDefault="00795327" w:rsidP="00C63E6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</w:t>
      </w:r>
      <w:r w:rsidR="00432DEE">
        <w:rPr>
          <w:rFonts w:ascii="Cambria" w:hAnsi="Cambria"/>
        </w:rPr>
        <w:t>Dokumentacji technicznej.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76B5F5E4" w:rsidR="00C57589" w:rsidRPr="00F71FDE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branży budowlanej –  …………………….., uprawnienia nr …………………</w:t>
      </w:r>
    </w:p>
    <w:p w14:paraId="2A35B6DB" w14:textId="77777777" w:rsidR="00C6690B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6690B">
        <w:rPr>
          <w:rFonts w:ascii="Cambria" w:hAnsi="Cambria"/>
        </w:rPr>
        <w:t>:</w:t>
      </w:r>
    </w:p>
    <w:p w14:paraId="55FFDF67" w14:textId="39FEA8FC" w:rsidR="00795327" w:rsidRPr="00C6690B" w:rsidRDefault="00795327" w:rsidP="00C63E66">
      <w:pPr>
        <w:pStyle w:val="Akapitzlist"/>
        <w:numPr>
          <w:ilvl w:val="0"/>
          <w:numId w:val="49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F71FDE">
        <w:rPr>
          <w:rFonts w:ascii="Cambria" w:hAnsi="Cambria"/>
        </w:rPr>
        <w:t>kierownik budowy (robót)</w:t>
      </w:r>
      <w:r w:rsidR="00113A1A" w:rsidRPr="00F71FDE">
        <w:rPr>
          <w:rFonts w:ascii="Cambria" w:hAnsi="Cambria"/>
        </w:rPr>
        <w:t xml:space="preserve"> w branży inżynierii drogowej lub odpowiadające im uprawnienia w specjalności konstrukcyjno-budowlanej</w:t>
      </w:r>
      <w:r w:rsidRPr="00F71FDE">
        <w:rPr>
          <w:rFonts w:ascii="Cambria" w:hAnsi="Cambria"/>
        </w:rPr>
        <w:t>: ……………….., uprawnienia nr ……………</w:t>
      </w:r>
    </w:p>
    <w:p w14:paraId="789F1069" w14:textId="77777777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C6690B" w:rsidRDefault="00795327" w:rsidP="00C63E66">
      <w:pPr>
        <w:pStyle w:val="Akapitzlist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</w:t>
      </w:r>
    </w:p>
    <w:p w14:paraId="5C491427" w14:textId="4E7B4380" w:rsidR="00795327" w:rsidRPr="00C6690B" w:rsidRDefault="00795327" w:rsidP="00C63E66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 xml:space="preserve">Wykonawca zmieniając </w:t>
      </w:r>
      <w:r w:rsidR="00C6690B">
        <w:rPr>
          <w:rFonts w:ascii="Cambria" w:hAnsi="Cambria"/>
        </w:rPr>
        <w:t>osoby, o których mowa w ust. 2,</w:t>
      </w:r>
      <w:r w:rsidRPr="00C6690B">
        <w:rPr>
          <w:rFonts w:ascii="Cambria" w:hAnsi="Cambria"/>
        </w:rPr>
        <w:t xml:space="preserve"> jest zobowiązany wykazać,</w:t>
      </w:r>
      <w:r w:rsidR="00CB08ED" w:rsidRPr="00C6690B">
        <w:rPr>
          <w:rFonts w:ascii="Cambria" w:hAnsi="Cambria"/>
        </w:rPr>
        <w:t xml:space="preserve"> że zgłoszona nowa osoba spełnia</w:t>
      </w:r>
      <w:r w:rsidRPr="00C6690B">
        <w:rPr>
          <w:rFonts w:ascii="Cambria" w:hAnsi="Cambria"/>
        </w:rPr>
        <w:t xml:space="preserve"> wymogi kwalifikacyjne określone w SWZ</w:t>
      </w:r>
      <w:r w:rsidR="00C6690B">
        <w:rPr>
          <w:rFonts w:ascii="Cambria" w:hAnsi="Cambria"/>
        </w:rPr>
        <w:t xml:space="preserve"> i ofercie Wykonawcy</w:t>
      </w:r>
      <w:r w:rsidRPr="00C6690B">
        <w:rPr>
          <w:rFonts w:ascii="Cambria" w:hAnsi="Cambria"/>
        </w:rPr>
        <w:t>.</w:t>
      </w:r>
    </w:p>
    <w:p w14:paraId="7A9704D7" w14:textId="77777777" w:rsidR="00795327" w:rsidRPr="00C6690B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Pr="00C6690B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E70510" w:rsidRPr="00C6690B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Kary umowne</w:t>
      </w:r>
    </w:p>
    <w:p w14:paraId="13FDA1CA" w14:textId="23D92DE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44453F14" w14:textId="79EDD29F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 xml:space="preserve">podwykonawstwo lub jej zmiany,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2F91BAD5" w14:textId="790249AE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04B94BAF" w14:textId="1CF47C75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1C596C4" w:rsid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>
        <w:rPr>
          <w:rFonts w:ascii="Cambria" w:hAnsi="Cambria"/>
        </w:rPr>
        <w:t> 000,00 zł za każdy przypadek;</w:t>
      </w:r>
    </w:p>
    <w:p w14:paraId="352AACAE" w14:textId="09D068C9" w:rsidR="00795327" w:rsidRPr="00795327" w:rsidRDefault="00795327" w:rsidP="00C63E66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lastRenderedPageBreak/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C6690B">
        <w:rPr>
          <w:rFonts w:ascii="Cambria" w:hAnsi="Cambria"/>
        </w:rPr>
        <w:t>5</w:t>
      </w:r>
      <w:r w:rsidRPr="00795327">
        <w:rPr>
          <w:rFonts w:ascii="Cambria" w:hAnsi="Cambria"/>
        </w:rPr>
        <w:t> 000,00 zł za każdy przypadek.</w:t>
      </w:r>
    </w:p>
    <w:p w14:paraId="7D6B6CBE" w14:textId="353A1B1B" w:rsidR="00D94EE5" w:rsidRDefault="00D94EE5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C63E6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84061F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Default="00795327" w:rsidP="00C63E66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zastrzeżeniem ust. 2:</w:t>
      </w:r>
    </w:p>
    <w:p w14:paraId="6D65E397" w14:textId="77777777" w:rsidR="00795327" w:rsidRP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C63E6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347EF67E" w14:textId="5689A92C" w:rsidR="00770ECE" w:rsidRPr="00770ECE" w:rsidRDefault="00795327" w:rsidP="00770EC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>
        <w:rPr>
          <w:rFonts w:ascii="Cambria" w:hAnsi="Cambria"/>
        </w:rPr>
        <w:t>456</w:t>
      </w:r>
      <w:r>
        <w:rPr>
          <w:rFonts w:ascii="Cambria" w:hAnsi="Cambria"/>
        </w:rPr>
        <w:t xml:space="preserve"> ustawy </w:t>
      </w:r>
      <w:r w:rsidR="00770ECE">
        <w:rPr>
          <w:rFonts w:ascii="Cambria" w:hAnsi="Cambria"/>
        </w:rPr>
        <w:t>–</w:t>
      </w:r>
      <w:r>
        <w:rPr>
          <w:rFonts w:ascii="Cambria" w:hAnsi="Cambria"/>
        </w:rPr>
        <w:t xml:space="preserve"> PZP</w:t>
      </w:r>
      <w:r w:rsidR="00770ECE">
        <w:rPr>
          <w:rFonts w:ascii="Cambria" w:hAnsi="Cambria"/>
        </w:rPr>
        <w:t xml:space="preserve">, </w:t>
      </w:r>
      <w:r w:rsidR="00770ECE" w:rsidRPr="00770ECE">
        <w:rPr>
          <w:rFonts w:ascii="Cambria" w:hAnsi="Cambria" w:cs="Times New Roman"/>
          <w:color w:val="000000"/>
        </w:rPr>
        <w:t xml:space="preserve">w szczególności </w:t>
      </w:r>
      <w:r w:rsidR="00770ECE">
        <w:rPr>
          <w:rFonts w:ascii="Cambria" w:hAnsi="Cambria" w:cs="Times New Roman"/>
          <w:color w:val="000000"/>
        </w:rPr>
        <w:t xml:space="preserve">w przypadku </w:t>
      </w:r>
      <w:r w:rsidR="00770ECE" w:rsidRPr="00770ECE">
        <w:rPr>
          <w:rFonts w:ascii="Cambria" w:hAnsi="Cambria" w:cs="Times New Roman"/>
          <w:color w:val="000000"/>
        </w:rPr>
        <w:t>wystąpienia istotnej zmiany okoliczności powodującej, że wykonanie zamówienia nie leży w interesie publicznym, czego nie można było wcześniej przewidzieć.</w:t>
      </w:r>
    </w:p>
    <w:p w14:paraId="274F1CD3" w14:textId="25D28F7D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Niezależnie od prawa odstąpienia, o którym mowa w ust. 1, Zamawiającemu przysługuje prawo do </w:t>
      </w:r>
      <w:r w:rsidR="00685F61">
        <w:rPr>
          <w:rFonts w:ascii="Cambria" w:hAnsi="Cambria"/>
        </w:rPr>
        <w:t>odstąpienia od</w:t>
      </w:r>
      <w:r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</w:t>
      </w:r>
      <w:r w:rsidR="00C6690B">
        <w:rPr>
          <w:rFonts w:ascii="Cambria" w:hAnsi="Cambria"/>
        </w:rPr>
        <w:t> </w:t>
      </w:r>
      <w:r>
        <w:rPr>
          <w:rFonts w:ascii="Cambria" w:hAnsi="Cambria"/>
        </w:rPr>
        <w:t xml:space="preserve">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C6690B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3794E899" w:rsidR="00795327" w:rsidRP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</w:t>
      </w:r>
      <w:r w:rsidR="007F123F">
        <w:rPr>
          <w:rFonts w:ascii="Cambria" w:hAnsi="Cambria"/>
        </w:rPr>
        <w:t xml:space="preserve">zwłoki </w:t>
      </w:r>
      <w:r w:rsidRPr="00795327">
        <w:rPr>
          <w:rFonts w:ascii="Cambria" w:hAnsi="Cambria"/>
        </w:rPr>
        <w:t>w realizacji przedmiotu umowy w</w:t>
      </w:r>
      <w:r w:rsidR="0084061F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</w:t>
      </w:r>
      <w:r w:rsidR="00C6690B">
        <w:rPr>
          <w:rFonts w:ascii="Cambria" w:hAnsi="Cambria"/>
        </w:rPr>
        <w:t>–</w:t>
      </w:r>
      <w:r w:rsidRPr="00795327">
        <w:rPr>
          <w:rFonts w:ascii="Cambria" w:hAnsi="Cambria"/>
        </w:rPr>
        <w:t xml:space="preserve"> o</w:t>
      </w:r>
      <w:r w:rsidR="00C6690B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więcej niż </w:t>
      </w:r>
      <w:r w:rsidR="00C6690B">
        <w:rPr>
          <w:rFonts w:ascii="Cambria" w:hAnsi="Cambria"/>
        </w:rPr>
        <w:t>3</w:t>
      </w:r>
      <w:r w:rsidR="00C57589">
        <w:rPr>
          <w:rFonts w:ascii="Cambria" w:hAnsi="Cambria"/>
        </w:rPr>
        <w:t>0</w:t>
      </w:r>
      <w:r w:rsidRPr="00795327">
        <w:rPr>
          <w:rFonts w:ascii="Cambria" w:hAnsi="Cambria"/>
        </w:rPr>
        <w:t xml:space="preserve"> dni;</w:t>
      </w:r>
    </w:p>
    <w:p w14:paraId="01B74A2C" w14:textId="2F16E852" w:rsidR="00795327" w:rsidRDefault="00795327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>
        <w:rPr>
          <w:rFonts w:ascii="Cambria" w:hAnsi="Cambria"/>
        </w:rPr>
        <w:t>;</w:t>
      </w:r>
    </w:p>
    <w:p w14:paraId="1CDB4B43" w14:textId="4FE19D92" w:rsidR="00D94EE5" w:rsidRDefault="00D94EE5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94EE5">
        <w:rPr>
          <w:rFonts w:ascii="Cambria" w:hAnsi="Cambria"/>
        </w:rPr>
        <w:t>w stosunku do Wykonawcy sąd odmówi ogłoszenia upadłości z uwagi na niewystarczające aktywa na prowadzenie upadłości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 xml:space="preserve">jeżeli Wykonawca zawrze z wierzycielami układ powodujący zagrożenie dla realizacji </w:t>
      </w:r>
      <w:r>
        <w:rPr>
          <w:rFonts w:ascii="Cambria" w:hAnsi="Cambria"/>
        </w:rPr>
        <w:t>niniejszej u</w:t>
      </w:r>
      <w:r w:rsidRPr="00D94EE5">
        <w:rPr>
          <w:rFonts w:ascii="Cambria" w:hAnsi="Cambria"/>
        </w:rPr>
        <w:t>mowy lub nastąpi likwidacja przedsiębiorstwa Wykonawcy</w:t>
      </w:r>
      <w:r>
        <w:rPr>
          <w:rFonts w:ascii="Cambria" w:hAnsi="Cambria"/>
        </w:rPr>
        <w:t xml:space="preserve"> lub </w:t>
      </w:r>
      <w:r w:rsidRPr="00D94EE5">
        <w:rPr>
          <w:rFonts w:ascii="Cambria" w:hAnsi="Cambria"/>
        </w:rPr>
        <w:t>jeżeli w wyniku wszczętego postępowania egzekucyjnego nastąpi zajęcie majątku Wykonawcy lub jego znacznej części</w:t>
      </w:r>
    </w:p>
    <w:p w14:paraId="23F9F02C" w14:textId="3A8E6214" w:rsidR="00685F61" w:rsidRDefault="00D97992" w:rsidP="00C63E66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Default="00D94EE5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hAnsi="Cambria"/>
        </w:rPr>
        <w:t xml:space="preserve">Powyższe uprawnienie Zamawiającego nie uchybia możliwości odstąpienia od </w:t>
      </w:r>
      <w:r>
        <w:rPr>
          <w:rFonts w:ascii="Cambria" w:hAnsi="Cambria"/>
        </w:rPr>
        <w:t>niniejszej umowy</w:t>
      </w:r>
      <w:r w:rsidRPr="00D94EE5">
        <w:rPr>
          <w:rFonts w:ascii="Cambria" w:hAnsi="Cambria"/>
        </w:rPr>
        <w:t xml:space="preserve"> przez którąkolwiek ze Stron, na podstawie przepisów Kodeksu cywilnego.</w:t>
      </w:r>
    </w:p>
    <w:p w14:paraId="6FA5260A" w14:textId="28F1B910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>
        <w:rPr>
          <w:rFonts w:ascii="Cambria" w:hAnsi="Cambria"/>
        </w:rPr>
        <w:t xml:space="preserve">14 </w:t>
      </w:r>
      <w:r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66EA8402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</w:t>
      </w:r>
      <w:r w:rsidR="0084061F">
        <w:rPr>
          <w:rFonts w:ascii="Cambria" w:hAnsi="Cambria"/>
        </w:rPr>
        <w:t> </w:t>
      </w:r>
      <w:r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C63E6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C63E6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C63E6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F326F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F326FE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F326F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F326FE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12902BD1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3FEDA5E7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825907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6"/>
    <w:p w14:paraId="1B025282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825907">
        <w:rPr>
          <w:rFonts w:ascii="Cambria" w:hAnsi="Cambria"/>
        </w:rPr>
        <w:t>– zmiana terminu wykonania umowy może nastąpić o łączny czas opóźnienia (czas jest liczony w dniach);</w:t>
      </w:r>
    </w:p>
    <w:p w14:paraId="4323F28F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551D2DAB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1E18067E" w14:textId="77777777" w:rsidR="00D94EE5" w:rsidRPr="00825907" w:rsidRDefault="00D94EE5" w:rsidP="00F326F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/>
        </w:rPr>
        <w:lastRenderedPageBreak/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7718EEDA" w14:textId="5AF9655E" w:rsidR="00D94EE5" w:rsidRPr="00D94EE5" w:rsidRDefault="00D94EE5" w:rsidP="00F326FE">
      <w:pPr>
        <w:tabs>
          <w:tab w:val="left" w:pos="0"/>
        </w:tabs>
        <w:spacing w:after="0" w:line="360" w:lineRule="auto"/>
        <w:ind w:left="567"/>
        <w:jc w:val="both"/>
        <w:rPr>
          <w:rFonts w:ascii="Cambria" w:hAnsi="Cambria" w:cs="Times New Roman"/>
          <w:color w:val="000000"/>
        </w:rPr>
      </w:pPr>
      <w:r w:rsidRPr="00825907">
        <w:rPr>
          <w:rFonts w:ascii="Cambria" w:hAnsi="Cambria" w:cs="Times New Roman"/>
          <w:color w:val="000000"/>
        </w:rPr>
        <w:t xml:space="preserve">(Zamawiający i </w:t>
      </w:r>
      <w:r w:rsidR="002360F2">
        <w:rPr>
          <w:rFonts w:ascii="Cambria" w:hAnsi="Cambria" w:cs="Times New Roman"/>
          <w:color w:val="000000"/>
        </w:rPr>
        <w:t>W</w:t>
      </w:r>
      <w:r w:rsidRPr="00825907">
        <w:rPr>
          <w:rFonts w:ascii="Cambria" w:hAnsi="Cambria" w:cs="Times New Roman"/>
          <w:color w:val="000000"/>
        </w:rPr>
        <w:t>ykonawca ustalają nowe terminy umowne, z tym, że wielkość tych zmian musi być powiązana z przyczyną jaka ją spowodowała);</w:t>
      </w:r>
    </w:p>
    <w:p w14:paraId="6E8355FB" w14:textId="122924FF" w:rsidR="002360F2" w:rsidRPr="002360F2" w:rsidRDefault="002360F2" w:rsidP="00F326FE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2360F2">
        <w:rPr>
          <w:rFonts w:ascii="Cambria" w:hAnsi="Cambria" w:cs="Times New Roman"/>
          <w:color w:val="000000"/>
        </w:rPr>
        <w:t xml:space="preserve">zmiany sposobu wykonania lub zakresu przedmiotu umowy o nie więcej niż </w:t>
      </w:r>
      <w:r w:rsidR="004C2BB4">
        <w:rPr>
          <w:rFonts w:ascii="Cambria" w:hAnsi="Cambria" w:cs="Times New Roman"/>
          <w:color w:val="000000"/>
        </w:rPr>
        <w:t>4</w:t>
      </w:r>
      <w:r w:rsidRPr="002360F2">
        <w:rPr>
          <w:rFonts w:ascii="Cambria" w:hAnsi="Cambria" w:cs="Times New Roman"/>
          <w:color w:val="000000"/>
        </w:rPr>
        <w:t>0% w stosunku do pierwotnej wartości przedmiotu umowy, w przypadku</w:t>
      </w:r>
    </w:p>
    <w:p w14:paraId="50467CDD" w14:textId="7A53D5F5" w:rsidR="009703CC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</w:t>
      </w:r>
      <w:r w:rsidR="004C2BB4">
        <w:rPr>
          <w:rFonts w:ascii="Cambria" w:hAnsi="Cambria" w:cs="Times New Roman"/>
          <w:color w:val="000000"/>
        </w:rPr>
        <w:t xml:space="preserve"> o zaoszczędzone koszty</w:t>
      </w:r>
      <w:r w:rsidRPr="00C57589">
        <w:rPr>
          <w:rFonts w:ascii="Cambria" w:hAnsi="Cambria" w:cs="Times New Roman"/>
          <w:color w:val="000000"/>
        </w:rPr>
        <w:t>;</w:t>
      </w:r>
    </w:p>
    <w:p w14:paraId="3B311103" w14:textId="1D22E64C" w:rsidR="009703CC" w:rsidRDefault="004C2BB4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ujawnienia się po zawarciu niniejszej umowy potrzeby </w:t>
      </w:r>
      <w:r w:rsidR="009703CC" w:rsidRPr="00B63733">
        <w:rPr>
          <w:rFonts w:ascii="Cambria" w:hAnsi="Cambria" w:cs="Times New Roman"/>
          <w:color w:val="000000"/>
        </w:rPr>
        <w:t xml:space="preserve">wykonania robót zamiennych </w:t>
      </w:r>
      <w:r>
        <w:rPr>
          <w:rFonts w:ascii="Cambria" w:hAnsi="Cambria" w:cs="Times New Roman"/>
          <w:color w:val="000000"/>
        </w:rPr>
        <w:t xml:space="preserve">lub dodatkowych </w:t>
      </w:r>
      <w:r w:rsidR="009703CC" w:rsidRPr="00B63733">
        <w:rPr>
          <w:rFonts w:ascii="Cambria" w:hAnsi="Cambria" w:cs="Times New Roman"/>
          <w:color w:val="000000"/>
        </w:rPr>
        <w:t>w stosunku do przewidzianych w</w:t>
      </w:r>
      <w:r w:rsidR="000E6026">
        <w:rPr>
          <w:rFonts w:ascii="Cambria" w:hAnsi="Cambria" w:cs="Times New Roman"/>
          <w:color w:val="000000"/>
        </w:rPr>
        <w:t> </w:t>
      </w:r>
      <w:r w:rsidR="009703CC" w:rsidRPr="00B63733">
        <w:rPr>
          <w:rFonts w:ascii="Cambria" w:hAnsi="Cambria" w:cs="Times New Roman"/>
          <w:color w:val="000000"/>
        </w:rPr>
        <w:t>dokumentacji</w:t>
      </w:r>
      <w:r w:rsidR="009703CC">
        <w:rPr>
          <w:rFonts w:ascii="Cambria" w:hAnsi="Cambria" w:cs="Times New Roman"/>
          <w:color w:val="000000"/>
        </w:rPr>
        <w:t>,</w:t>
      </w:r>
      <w:r w:rsidR="000E6026">
        <w:rPr>
          <w:rFonts w:ascii="Cambria" w:hAnsi="Cambria" w:cs="Times New Roman"/>
          <w:color w:val="000000"/>
        </w:rPr>
        <w:t xml:space="preserve"> o której mowa w § 1 ust. </w:t>
      </w:r>
      <w:r>
        <w:rPr>
          <w:rFonts w:ascii="Cambria" w:hAnsi="Cambria" w:cs="Times New Roman"/>
          <w:color w:val="000000"/>
        </w:rPr>
        <w:t>3</w:t>
      </w:r>
      <w:r w:rsidR="000E6026">
        <w:rPr>
          <w:rFonts w:ascii="Cambria" w:hAnsi="Cambria" w:cs="Times New Roman"/>
          <w:color w:val="000000"/>
        </w:rPr>
        <w:t xml:space="preserve"> pkt 2,</w:t>
      </w:r>
      <w:r w:rsidR="009703CC" w:rsidRPr="00B63733">
        <w:rPr>
          <w:rFonts w:ascii="Cambria" w:hAnsi="Cambria" w:cs="Times New Roman"/>
          <w:color w:val="000000"/>
        </w:rPr>
        <w:t xml:space="preserve"> w sytuacji</w:t>
      </w:r>
      <w:r w:rsidR="009703CC">
        <w:rPr>
          <w:rFonts w:ascii="Cambria" w:hAnsi="Cambria" w:cs="Times New Roman"/>
          <w:color w:val="000000"/>
        </w:rPr>
        <w:t xml:space="preserve"> </w:t>
      </w:r>
      <w:r w:rsidR="009703CC"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</w:t>
      </w:r>
      <w:r w:rsidR="0084061F">
        <w:rPr>
          <w:rFonts w:ascii="Cambria" w:hAnsi="Cambria" w:cs="Times New Roman"/>
          <w:color w:val="000000"/>
        </w:rPr>
        <w:t> </w:t>
      </w:r>
      <w:r w:rsidR="009703CC" w:rsidRPr="00B63733">
        <w:rPr>
          <w:rFonts w:ascii="Cambria" w:hAnsi="Cambria" w:cs="Times New Roman"/>
          <w:color w:val="000000"/>
        </w:rPr>
        <w:t>obowiązującymi przepisami wykonania przedmiotu umowy</w:t>
      </w:r>
      <w:r w:rsidR="009703CC">
        <w:rPr>
          <w:rFonts w:ascii="Cambria" w:hAnsi="Cambria" w:cs="Times New Roman"/>
          <w:color w:val="000000"/>
        </w:rPr>
        <w:t xml:space="preserve">, co może skutkować zmianą wynagrodzenia należnego wykonawcy, jeśli wykonanie robót zamiennych </w:t>
      </w:r>
      <w:r>
        <w:rPr>
          <w:rFonts w:ascii="Cambria" w:hAnsi="Cambria" w:cs="Times New Roman"/>
          <w:color w:val="000000"/>
        </w:rPr>
        <w:t xml:space="preserve">lub dodatkowych </w:t>
      </w:r>
      <w:r w:rsidR="009703CC">
        <w:rPr>
          <w:rFonts w:ascii="Cambria" w:hAnsi="Cambria" w:cs="Times New Roman"/>
          <w:color w:val="000000"/>
        </w:rPr>
        <w:t>będzie miało wpływ na obniżenie lub zwiększenie tego wynagrodzenia</w:t>
      </w:r>
      <w:r w:rsidR="009703CC" w:rsidRPr="00B63733">
        <w:rPr>
          <w:rFonts w:ascii="Cambria" w:hAnsi="Cambria" w:cs="Times New Roman"/>
          <w:color w:val="000000"/>
        </w:rPr>
        <w:t>;</w:t>
      </w:r>
    </w:p>
    <w:p w14:paraId="64667B0D" w14:textId="37E300B1" w:rsidR="009703CC" w:rsidRPr="00E543A1" w:rsidRDefault="009703CC" w:rsidP="00F326FE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</w:t>
      </w:r>
      <w:r w:rsidR="000E6026">
        <w:rPr>
          <w:rFonts w:ascii="Cambria" w:hAnsi="Cambria"/>
        </w:rPr>
        <w:t>,</w:t>
      </w:r>
      <w:r w:rsidR="000E6026" w:rsidRPr="000E6026">
        <w:rPr>
          <w:rFonts w:ascii="Cambria" w:hAnsi="Cambria" w:cs="Times New Roman"/>
          <w:color w:val="000000"/>
        </w:rPr>
        <w:t xml:space="preserve"> </w:t>
      </w:r>
      <w:r w:rsidR="000E6026">
        <w:rPr>
          <w:rFonts w:ascii="Cambria" w:hAnsi="Cambria" w:cs="Times New Roman"/>
          <w:color w:val="000000"/>
        </w:rPr>
        <w:t xml:space="preserve">o której mowa w § 1 ust. </w:t>
      </w:r>
      <w:r w:rsidR="004C2BB4">
        <w:rPr>
          <w:rFonts w:ascii="Cambria" w:hAnsi="Cambria" w:cs="Times New Roman"/>
          <w:color w:val="000000"/>
        </w:rPr>
        <w:t>3</w:t>
      </w:r>
      <w:r w:rsidR="000E6026">
        <w:rPr>
          <w:rFonts w:ascii="Cambria" w:hAnsi="Cambria" w:cs="Times New Roman"/>
          <w:color w:val="000000"/>
        </w:rPr>
        <w:t xml:space="preserve"> pkt 2,</w:t>
      </w:r>
      <w:r w:rsidRPr="00E543A1">
        <w:rPr>
          <w:rFonts w:ascii="Cambria" w:hAnsi="Cambria"/>
        </w:rPr>
        <w:t xml:space="preserve">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074FD984" w14:textId="36CFF473" w:rsidR="00FD5C85" w:rsidRPr="00FD5C85" w:rsidRDefault="00FD5C85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728D4167" w:rsid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</w:t>
      </w:r>
      <w:r w:rsidR="002360F2">
        <w:rPr>
          <w:rFonts w:ascii="Cambria" w:hAnsi="Cambria" w:cs="Times New Roman"/>
          <w:color w:val="000000"/>
        </w:rPr>
        <w:t xml:space="preserve">, </w:t>
      </w:r>
      <w:r w:rsidR="002360F2" w:rsidRPr="002360F2">
        <w:rPr>
          <w:rFonts w:ascii="Cambria" w:hAnsi="Cambria"/>
        </w:rPr>
        <w:t xml:space="preserve">jeśli </w:t>
      </w:r>
      <w:r w:rsidR="002360F2" w:rsidRPr="002360F2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FD5C85">
        <w:rPr>
          <w:rFonts w:ascii="Cambria" w:hAnsi="Cambria" w:cs="Times New Roman"/>
          <w:color w:val="000000"/>
        </w:rPr>
        <w:t>;</w:t>
      </w:r>
    </w:p>
    <w:p w14:paraId="1425C053" w14:textId="01A151A9" w:rsidR="00FD5C85" w:rsidRPr="00FD5C85" w:rsidRDefault="00FD5C85" w:rsidP="00C63E66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bookmarkStart w:id="7" w:name="_Hlk62455598"/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bookmarkEnd w:id="7"/>
    <w:p w14:paraId="3412404B" w14:textId="4E4EC28F" w:rsidR="009703CC" w:rsidRDefault="009703CC" w:rsidP="00C63E66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</w:t>
      </w:r>
      <w:r w:rsidRPr="005C03E8">
        <w:rPr>
          <w:rFonts w:ascii="Cambria" w:hAnsi="Cambria" w:cs="Times New Roman"/>
          <w:color w:val="000000"/>
        </w:rPr>
        <w:lastRenderedPageBreak/>
        <w:t xml:space="preserve">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1200D871" w14:textId="4AE92E38" w:rsidR="009703CC" w:rsidRPr="0017480F" w:rsidRDefault="009703CC" w:rsidP="0017480F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SWZ po uzgodnieniu z</w:t>
      </w:r>
      <w:r w:rsidR="0084061F">
        <w:rPr>
          <w:rFonts w:ascii="Cambria" w:hAnsi="Cambria" w:cs="Times New Roman"/>
          <w:color w:val="000000"/>
        </w:rPr>
        <w:t> </w:t>
      </w:r>
      <w:r w:rsidRPr="005C03E8">
        <w:rPr>
          <w:rFonts w:ascii="Cambria" w:hAnsi="Cambria" w:cs="Times New Roman"/>
          <w:color w:val="000000"/>
        </w:rPr>
        <w:t>Zamawiającym</w:t>
      </w:r>
      <w:r w:rsidRPr="0017480F">
        <w:rPr>
          <w:rFonts w:ascii="Cambria" w:hAnsi="Cambria"/>
        </w:rPr>
        <w:t>.</w:t>
      </w:r>
    </w:p>
    <w:p w14:paraId="23988AAA" w14:textId="07ED3070" w:rsidR="002360F2" w:rsidRPr="002360F2" w:rsidRDefault="002360F2" w:rsidP="002360F2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>
        <w:rPr>
          <w:rFonts w:ascii="Cambria" w:eastAsia="TimesNewRomanPSMT" w:hAnsi="Cambria" w:cs="Arial"/>
          <w:color w:val="000000"/>
        </w:rPr>
        <w:t>W przypadku zmiany umowy, o której mowa w ust. 1 pkt 3 lit. a, n</w:t>
      </w:r>
      <w:r w:rsidRPr="002360F2">
        <w:rPr>
          <w:rFonts w:ascii="Cambria" w:eastAsia="TimesNewRomanPSMT" w:hAnsi="Cambria" w:cs="Arial"/>
          <w:color w:val="000000"/>
        </w:rPr>
        <w:t xml:space="preserve">owa wysokość wynagrodzenia </w:t>
      </w:r>
      <w:r>
        <w:rPr>
          <w:rFonts w:ascii="Cambria" w:eastAsia="TimesNewRomanPSMT" w:hAnsi="Cambria" w:cs="Arial"/>
          <w:color w:val="000000"/>
        </w:rPr>
        <w:t xml:space="preserve">Wykonawcy </w:t>
      </w:r>
      <w:r w:rsidRPr="002360F2">
        <w:rPr>
          <w:rFonts w:ascii="Cambria" w:eastAsia="TimesNewRomanPSMT" w:hAnsi="Cambria" w:cs="Arial"/>
          <w:color w:val="000000"/>
        </w:rPr>
        <w:t xml:space="preserve">zostanie ustalona </w:t>
      </w:r>
      <w:r w:rsidRPr="002360F2">
        <w:rPr>
          <w:rFonts w:ascii="Cambria" w:hAnsi="Cambria"/>
        </w:rPr>
        <w:t>według następujących zasad:</w:t>
      </w:r>
    </w:p>
    <w:p w14:paraId="2E0C6676" w14:textId="6B139043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2360F2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825907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2360F2" w:rsidRDefault="002360F2" w:rsidP="002360F2">
      <w:pPr>
        <w:pStyle w:val="Akapitzlist"/>
        <w:numPr>
          <w:ilvl w:val="0"/>
          <w:numId w:val="55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25907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2360F2" w:rsidRDefault="009703CC" w:rsidP="002360F2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360F2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8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9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0AC90A09" w:rsidR="00795327" w:rsidRPr="00C6690B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pn.</w:t>
      </w:r>
      <w:bookmarkEnd w:id="9"/>
      <w:r w:rsidR="00C6690B">
        <w:rPr>
          <w:rFonts w:ascii="Cambria" w:hAnsi="Cambria"/>
        </w:rPr>
        <w:t xml:space="preserve"> </w:t>
      </w:r>
      <w:r w:rsidR="00C6690B" w:rsidRPr="00C6690B">
        <w:rPr>
          <w:rFonts w:ascii="Cambria" w:hAnsi="Cambria" w:cs="Times New Roman"/>
          <w:b/>
        </w:rPr>
        <w:t>„</w:t>
      </w:r>
      <w:r w:rsidR="004C2BB4">
        <w:rPr>
          <w:rFonts w:ascii="Cambria" w:hAnsi="Cambria" w:cs="Times New Roman"/>
          <w:b/>
        </w:rPr>
        <w:t>Przebudowa dróg gminnych i wewnętrznych na terenie Gminy Piekoszów</w:t>
      </w:r>
      <w:r w:rsidR="00C6690B" w:rsidRPr="00C6690B">
        <w:rPr>
          <w:rFonts w:ascii="Cambria" w:hAnsi="Cambria" w:cs="Times New Roman"/>
          <w:b/>
        </w:rPr>
        <w:t>”</w:t>
      </w:r>
      <w:r w:rsidR="00CA2C7D" w:rsidRPr="00C6690B">
        <w:rPr>
          <w:rFonts w:ascii="Cambria" w:hAnsi="Cambria"/>
        </w:rPr>
        <w:t xml:space="preserve">, nr ref. </w:t>
      </w:r>
      <w:r w:rsidR="00F27730" w:rsidRPr="00C6690B">
        <w:rPr>
          <w:rFonts w:ascii="Cambria" w:hAnsi="Cambria"/>
        </w:rPr>
        <w:t>IRO.271.2.</w:t>
      </w:r>
      <w:r w:rsidR="004C2BB4">
        <w:rPr>
          <w:rFonts w:ascii="Cambria" w:hAnsi="Cambria"/>
        </w:rPr>
        <w:t>4</w:t>
      </w:r>
      <w:r w:rsidR="00F27730" w:rsidRPr="00C6690B">
        <w:rPr>
          <w:rFonts w:ascii="Cambria" w:hAnsi="Cambria"/>
        </w:rPr>
        <w:t>.202</w:t>
      </w:r>
      <w:r w:rsidR="004C2BB4">
        <w:rPr>
          <w:rFonts w:ascii="Cambria" w:hAnsi="Cambria"/>
        </w:rPr>
        <w:t>1</w:t>
      </w:r>
      <w:r w:rsidR="00F27730" w:rsidRPr="00C6690B">
        <w:rPr>
          <w:rFonts w:ascii="Cambria" w:hAnsi="Cambria"/>
        </w:rPr>
        <w:t>.PK.;</w:t>
      </w:r>
    </w:p>
    <w:p w14:paraId="58223E05" w14:textId="77777777" w:rsidR="00795327" w:rsidRPr="005B1A2A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C63E66">
      <w:pPr>
        <w:pStyle w:val="Akapitzlist"/>
        <w:numPr>
          <w:ilvl w:val="0"/>
          <w:numId w:val="40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C63E66">
      <w:pPr>
        <w:pStyle w:val="Akapitzlist"/>
        <w:numPr>
          <w:ilvl w:val="0"/>
          <w:numId w:val="41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C63E66">
      <w:pPr>
        <w:pStyle w:val="Akapitzlist"/>
        <w:numPr>
          <w:ilvl w:val="0"/>
          <w:numId w:val="39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8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6115723C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4C2BB4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6F00ED71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C63E6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3DFEDB0E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SWZ;</w:t>
      </w:r>
    </w:p>
    <w:p w14:paraId="47149222" w14:textId="7A81D9B9" w:rsidR="00795327" w:rsidRDefault="00FD5C85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Dokumentacja </w:t>
      </w:r>
      <w:r w:rsidR="00C6690B">
        <w:rPr>
          <w:rFonts w:ascii="Cambria" w:hAnsi="Cambria"/>
        </w:rPr>
        <w:t>techniczna</w:t>
      </w:r>
      <w:r w:rsidR="0022598C">
        <w:rPr>
          <w:rFonts w:ascii="Cambria" w:hAnsi="Cambria"/>
        </w:rPr>
        <w:t>;</w:t>
      </w:r>
    </w:p>
    <w:p w14:paraId="7B3700E8" w14:textId="77777777" w:rsidR="00795327" w:rsidRPr="00795327" w:rsidRDefault="00795327" w:rsidP="00C63E66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1722" w14:textId="77777777" w:rsidR="002C379C" w:rsidRDefault="002C379C" w:rsidP="008A4526">
      <w:pPr>
        <w:spacing w:after="0" w:line="240" w:lineRule="auto"/>
      </w:pPr>
      <w:r>
        <w:separator/>
      </w:r>
    </w:p>
  </w:endnote>
  <w:endnote w:type="continuationSeparator" w:id="0">
    <w:p w14:paraId="59A81F41" w14:textId="77777777" w:rsidR="002C379C" w:rsidRDefault="002C379C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9618" w14:textId="77777777" w:rsidR="002C379C" w:rsidRDefault="002C379C" w:rsidP="008A4526">
      <w:pPr>
        <w:spacing w:after="0" w:line="240" w:lineRule="auto"/>
      </w:pPr>
      <w:r>
        <w:separator/>
      </w:r>
    </w:p>
  </w:footnote>
  <w:footnote w:type="continuationSeparator" w:id="0">
    <w:p w14:paraId="510B20B5" w14:textId="77777777" w:rsidR="002C379C" w:rsidRDefault="002C379C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49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8"/>
  </w:num>
  <w:num w:numId="55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739CB"/>
    <w:rsid w:val="0017480F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71992"/>
    <w:rsid w:val="002910FE"/>
    <w:rsid w:val="002B457D"/>
    <w:rsid w:val="002B5465"/>
    <w:rsid w:val="002C379C"/>
    <w:rsid w:val="002F52DC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D72F0"/>
    <w:rsid w:val="003F3CE8"/>
    <w:rsid w:val="00427E50"/>
    <w:rsid w:val="00432DEE"/>
    <w:rsid w:val="00442355"/>
    <w:rsid w:val="00450308"/>
    <w:rsid w:val="00464A26"/>
    <w:rsid w:val="004945B4"/>
    <w:rsid w:val="004B1491"/>
    <w:rsid w:val="004C24F8"/>
    <w:rsid w:val="004C2BB4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55BE4"/>
    <w:rsid w:val="00662F2F"/>
    <w:rsid w:val="00663224"/>
    <w:rsid w:val="006805EF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A4526"/>
    <w:rsid w:val="008B6C5D"/>
    <w:rsid w:val="008C0847"/>
    <w:rsid w:val="008E3F9B"/>
    <w:rsid w:val="00902F3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A3918"/>
    <w:rsid w:val="00AC48C8"/>
    <w:rsid w:val="00AD3AA8"/>
    <w:rsid w:val="00AE43AF"/>
    <w:rsid w:val="00AE6973"/>
    <w:rsid w:val="00B00373"/>
    <w:rsid w:val="00B0463F"/>
    <w:rsid w:val="00B1515B"/>
    <w:rsid w:val="00B165A7"/>
    <w:rsid w:val="00B65B64"/>
    <w:rsid w:val="00B67306"/>
    <w:rsid w:val="00B71A5B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130A0"/>
    <w:rsid w:val="00D44C6B"/>
    <w:rsid w:val="00D94EE5"/>
    <w:rsid w:val="00D97992"/>
    <w:rsid w:val="00DB3868"/>
    <w:rsid w:val="00DC14FC"/>
    <w:rsid w:val="00DD6B0D"/>
    <w:rsid w:val="00DE3C2B"/>
    <w:rsid w:val="00E31C9E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6454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2021-03-22T00:42:00Z</dcterms:created>
  <dcterms:modified xsi:type="dcterms:W3CDTF">2021-03-26T13:39:00Z</dcterms:modified>
</cp:coreProperties>
</file>